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FE7" w:rsidRPr="00D02AB2" w:rsidRDefault="00D02AB2" w:rsidP="00D02AB2">
      <w:pPr>
        <w:ind w:right="95"/>
        <w:jc w:val="both"/>
        <w:rPr>
          <w:rFonts w:ascii="Times New Roman" w:hAnsi="Times New Roman" w:cs="Times New Roman"/>
          <w:sz w:val="24"/>
        </w:rPr>
      </w:pPr>
      <w:bookmarkStart w:id="0" w:name="_GoBack"/>
      <w:bookmarkEnd w:id="0"/>
      <w:r w:rsidRPr="00D02AB2">
        <w:rPr>
          <w:rFonts w:ascii="Times New Roman" w:hAnsi="Times New Roman" w:cs="Times New Roman"/>
          <w:sz w:val="24"/>
        </w:rPr>
        <w:t>Riigihangete registris hankija andmete sisestamine</w:t>
      </w:r>
    </w:p>
    <w:p w:rsidR="001C5BB7" w:rsidRDefault="00A91320" w:rsidP="00D02AB2">
      <w:pPr>
        <w:ind w:right="95"/>
        <w:jc w:val="both"/>
        <w:rPr>
          <w:rFonts w:ascii="Times New Roman" w:hAnsi="Times New Roman" w:cs="Times New Roman"/>
          <w:sz w:val="24"/>
        </w:rPr>
      </w:pPr>
      <w:r>
        <w:rPr>
          <w:rFonts w:ascii="Times New Roman" w:hAnsi="Times New Roman" w:cs="Times New Roman"/>
          <w:sz w:val="24"/>
        </w:rPr>
        <w:t>Kui taotleja soovib alustada riigihanke läbiviimisega riigihangete registris, siis tuleb tal pöörata erilist tähelepanu hankija liigi valikule hankija andmete sisestamisel.</w:t>
      </w:r>
    </w:p>
    <w:p w:rsidR="00D02AB2" w:rsidRDefault="00A91320" w:rsidP="00D02AB2">
      <w:pPr>
        <w:ind w:right="95"/>
        <w:jc w:val="both"/>
        <w:rPr>
          <w:rFonts w:ascii="Times New Roman" w:hAnsi="Times New Roman" w:cs="Times New Roman"/>
          <w:sz w:val="24"/>
        </w:rPr>
      </w:pPr>
      <w:r w:rsidRPr="00D02AB2">
        <w:rPr>
          <w:rFonts w:ascii="Times New Roman" w:hAnsi="Times New Roman" w:cs="Times New Roman"/>
          <w:noProof/>
          <w:sz w:val="24"/>
          <w:lang w:eastAsia="et-EE"/>
        </w:rPr>
        <w:drawing>
          <wp:inline distT="0" distB="0" distL="0" distR="0" wp14:anchorId="41133191" wp14:editId="18616198">
            <wp:extent cx="5724525" cy="3038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3038475"/>
                    </a:xfrm>
                    <a:prstGeom prst="rect">
                      <a:avLst/>
                    </a:prstGeom>
                    <a:noFill/>
                    <a:ln>
                      <a:noFill/>
                    </a:ln>
                  </pic:spPr>
                </pic:pic>
              </a:graphicData>
            </a:graphic>
          </wp:inline>
        </w:drawing>
      </w:r>
    </w:p>
    <w:p w:rsidR="00A91320" w:rsidRDefault="00A91320" w:rsidP="00A91320">
      <w:pPr>
        <w:ind w:right="95"/>
        <w:jc w:val="both"/>
        <w:rPr>
          <w:rFonts w:ascii="Times New Roman" w:hAnsi="Times New Roman" w:cs="Times New Roman"/>
          <w:sz w:val="24"/>
        </w:rPr>
      </w:pPr>
      <w:r>
        <w:rPr>
          <w:rFonts w:ascii="Times New Roman" w:hAnsi="Times New Roman" w:cs="Times New Roman"/>
          <w:sz w:val="24"/>
        </w:rPr>
        <w:t xml:space="preserve">Taotlejal tuleb valida </w:t>
      </w:r>
      <w:proofErr w:type="spellStart"/>
      <w:r>
        <w:rPr>
          <w:rFonts w:ascii="Times New Roman" w:hAnsi="Times New Roman" w:cs="Times New Roman"/>
          <w:sz w:val="24"/>
        </w:rPr>
        <w:t>rippmenüüst</w:t>
      </w:r>
      <w:proofErr w:type="spellEnd"/>
      <w:r>
        <w:rPr>
          <w:rFonts w:ascii="Times New Roman" w:hAnsi="Times New Roman" w:cs="Times New Roman"/>
          <w:sz w:val="24"/>
        </w:rPr>
        <w:t xml:space="preserve"> „Muu“, kui ta soovib läbi viia lihthanget või riigihanget. Kui taotleja valib „Toetuse saaja, kes ei ole hankija RHS tähenduses“, siis tekib olukord, kus taotleja ei saa valida riigihanke alustamisel riigihangete registris lihthankemenetluse, avatud hankemenet</w:t>
      </w:r>
      <w:r w:rsidR="00127A19">
        <w:rPr>
          <w:rFonts w:ascii="Times New Roman" w:hAnsi="Times New Roman" w:cs="Times New Roman"/>
          <w:sz w:val="24"/>
        </w:rPr>
        <w:t>luse või muu hankemenetluse liik</w:t>
      </w:r>
      <w:r>
        <w:rPr>
          <w:rFonts w:ascii="Times New Roman" w:hAnsi="Times New Roman" w:cs="Times New Roman"/>
          <w:sz w:val="24"/>
        </w:rPr>
        <w:t xml:space="preserve">i. Toetuse saaja ostu läbiviimisel ei võimalda register teha tavapäraseid ning RHS-i kohaselt kohustuslikke toiminguid nagu näiteks pakkujate karistusregistri andmete kontrollimist, mis </w:t>
      </w:r>
      <w:r w:rsidRPr="00A91320">
        <w:rPr>
          <w:rFonts w:ascii="Times New Roman" w:hAnsi="Times New Roman" w:cs="Times New Roman"/>
          <w:b/>
          <w:sz w:val="24"/>
        </w:rPr>
        <w:t>viib omakorda RHS-i rikkumisteni ning potentsiaalselt ka finantskorrektsiooni kohaldamiseni.</w:t>
      </w:r>
    </w:p>
    <w:p w:rsidR="00D02AB2" w:rsidRPr="00D02AB2" w:rsidRDefault="00A91320" w:rsidP="00D02AB2">
      <w:pPr>
        <w:ind w:right="95"/>
        <w:jc w:val="both"/>
        <w:rPr>
          <w:rFonts w:ascii="Times New Roman" w:hAnsi="Times New Roman" w:cs="Times New Roman"/>
          <w:sz w:val="24"/>
        </w:rPr>
      </w:pPr>
      <w:r>
        <w:rPr>
          <w:rFonts w:ascii="Times New Roman" w:hAnsi="Times New Roman" w:cs="Times New Roman"/>
          <w:sz w:val="24"/>
        </w:rPr>
        <w:t>Seega palume taotlejatel olla äärmiselt tähelepanelik hankija liigi määratlemisel riigihangete registris.</w:t>
      </w:r>
    </w:p>
    <w:sectPr w:rsidR="00D02AB2" w:rsidRPr="00D02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B2"/>
    <w:rsid w:val="00025A55"/>
    <w:rsid w:val="00127A19"/>
    <w:rsid w:val="001C5BB7"/>
    <w:rsid w:val="002044B9"/>
    <w:rsid w:val="006031CD"/>
    <w:rsid w:val="006F518B"/>
    <w:rsid w:val="00865233"/>
    <w:rsid w:val="00A91320"/>
    <w:rsid w:val="00D02AB2"/>
    <w:rsid w:val="00FA7899"/>
    <w:rsid w:val="00FC2F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99D2F-E25B-4E62-8C4D-8591BF31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FA789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A7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801</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PRIA</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Kull</dc:creator>
  <cp:keywords/>
  <dc:description/>
  <cp:lastModifiedBy>Kaire K</cp:lastModifiedBy>
  <cp:revision>2</cp:revision>
  <cp:lastPrinted>2020-01-27T07:19:00Z</cp:lastPrinted>
  <dcterms:created xsi:type="dcterms:W3CDTF">2020-01-27T08:33:00Z</dcterms:created>
  <dcterms:modified xsi:type="dcterms:W3CDTF">2020-01-27T08:33:00Z</dcterms:modified>
</cp:coreProperties>
</file>